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7FF70">
      <w:pPr>
        <w:pStyle w:val="10"/>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513665</w:t>
      </w:r>
      <w:bookmarkStart w:id="6" w:name="_GoBack"/>
      <w:bookmarkEnd w:id="6"/>
      <w:r>
        <w:rPr>
          <w:b/>
          <w:sz w:val="24"/>
          <w:szCs w:val="24"/>
          <w:highlight w:val="none"/>
        </w:rPr>
        <w:t xml:space="preserve">                      </w:t>
      </w:r>
    </w:p>
    <w:bookmarkEnd w:id="0"/>
    <w:bookmarkEnd w:id="1"/>
    <w:p w14:paraId="5C25862B">
      <w:pPr>
        <w:pStyle w:val="10"/>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highlight w:val="none"/>
        </w:rPr>
        <w:t xml:space="preserve"> 2025</w:t>
      </w:r>
    </w:p>
    <w:p w14:paraId="3ADB2E0B">
      <w:pPr>
        <w:tabs>
          <w:tab w:val="left" w:pos="1985"/>
        </w:tabs>
        <w:rPr>
          <w:rFonts w:ascii="Times New Roman" w:hAnsi="Times New Roman"/>
          <w:b/>
          <w:sz w:val="22"/>
          <w:highlight w:val="none"/>
        </w:rPr>
      </w:pPr>
    </w:p>
    <w:p w14:paraId="7027D5FD">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11</w:t>
      </w:r>
      <w:r>
        <w:rPr>
          <w:rFonts w:hint="eastAsia" w:ascii="Times New Roman" w:hAnsi="Times New Roman"/>
          <w:sz w:val="22"/>
          <w:highlight w:val="none"/>
        </w:rPr>
        <w:t>.</w:t>
      </w:r>
      <w:r>
        <w:rPr>
          <w:rFonts w:hint="eastAsia" w:ascii="Times New Roman" w:hAnsi="Times New Roman"/>
          <w:sz w:val="22"/>
          <w:highlight w:val="none"/>
          <w:lang w:val="en-US" w:eastAsia="zh-CN"/>
        </w:rPr>
        <w:t>5</w:t>
      </w:r>
    </w:p>
    <w:p w14:paraId="1FCBB455">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4BA4A0E5">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4"/>
      <w:bookmarkStart w:id="3" w:name="OLE_LINK23"/>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RRM requirements for positioning accuracy enhancement</w:t>
      </w:r>
    </w:p>
    <w:bookmarkEnd w:id="4"/>
    <w:bookmarkEnd w:id="5"/>
    <w:p w14:paraId="5949F04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65B7223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FDD65FA">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 xml:space="preserve">The </w:t>
      </w:r>
      <w:r>
        <w:rPr>
          <w:rFonts w:hint="eastAsia" w:ascii="Times New Roman" w:hAnsi="Times New Roman"/>
          <w:sz w:val="20"/>
          <w:szCs w:val="20"/>
          <w:lang w:val="en-US" w:eastAsia="zh-CN"/>
        </w:rPr>
        <w:t xml:space="preserve">related </w:t>
      </w:r>
      <w:r>
        <w:rPr>
          <w:rFonts w:ascii="Times New Roman" w:hAnsi="Times New Roman"/>
          <w:sz w:val="20"/>
          <w:szCs w:val="20"/>
        </w:rPr>
        <w:t>objectives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592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43462263">
            <w:pPr>
              <w:numPr>
                <w:ilvl w:val="0"/>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Positioning accuracy enhancements, encompassing [RAN1/RAN2/RAN3]:</w:t>
            </w:r>
          </w:p>
          <w:p w14:paraId="15DC6D18">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Direct AI/ML positioning:</w:t>
            </w:r>
          </w:p>
          <w:p w14:paraId="6B494076">
            <w:pPr>
              <w:numPr>
                <w:ilvl w:val="2"/>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(1</w:t>
            </w:r>
            <w:r>
              <w:rPr>
                <w:rFonts w:hint="default" w:ascii="Times New Roman" w:hAnsi="Times New Roman" w:cs="Times New Roman"/>
                <w:bCs/>
                <w:sz w:val="20"/>
                <w:szCs w:val="20"/>
                <w:vertAlign w:val="superscript"/>
              </w:rPr>
              <w:t>st</w:t>
            </w:r>
            <w:r>
              <w:rPr>
                <w:rFonts w:hint="default" w:ascii="Times New Roman" w:hAnsi="Times New Roman" w:cs="Times New Roman"/>
                <w:bCs/>
                <w:sz w:val="20"/>
                <w:szCs w:val="20"/>
              </w:rPr>
              <w:t xml:space="preserve"> priority) Case 1: </w:t>
            </w:r>
            <w:r>
              <w:rPr>
                <w:rFonts w:hint="default" w:ascii="Times New Roman" w:hAnsi="Times New Roman" w:cs="Times New Roman"/>
                <w:sz w:val="20"/>
                <w:szCs w:val="20"/>
              </w:rPr>
              <w:t>UE-based positioning with UE-side model, direct AI/ML positioning</w:t>
            </w:r>
          </w:p>
          <w:p w14:paraId="7BDC2844">
            <w:pPr>
              <w:numPr>
                <w:ilvl w:val="2"/>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(2</w:t>
            </w:r>
            <w:r>
              <w:rPr>
                <w:rFonts w:hint="default" w:ascii="Times New Roman" w:hAnsi="Times New Roman" w:cs="Times New Roman"/>
                <w:bCs/>
                <w:sz w:val="20"/>
                <w:szCs w:val="20"/>
                <w:vertAlign w:val="superscript"/>
              </w:rPr>
              <w:t>nd</w:t>
            </w:r>
            <w:r>
              <w:rPr>
                <w:rFonts w:hint="default" w:ascii="Times New Roman" w:hAnsi="Times New Roman" w:cs="Times New Roman"/>
                <w:bCs/>
                <w:sz w:val="20"/>
                <w:szCs w:val="20"/>
              </w:rPr>
              <w:t xml:space="preserve"> priority) Case 2b: </w:t>
            </w:r>
            <w:r>
              <w:rPr>
                <w:rFonts w:hint="default" w:ascii="Times New Roman" w:hAnsi="Times New Roman" w:cs="Times New Roman"/>
                <w:sz w:val="20"/>
                <w:szCs w:val="20"/>
              </w:rPr>
              <w:t>UE-assisted/LMF-based positioning with LMF-side model, direct AI/ML positioning</w:t>
            </w:r>
          </w:p>
          <w:p w14:paraId="3FAB9B49">
            <w:pPr>
              <w:numPr>
                <w:ilvl w:val="2"/>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(1</w:t>
            </w:r>
            <w:r>
              <w:rPr>
                <w:rFonts w:hint="default" w:ascii="Times New Roman" w:hAnsi="Times New Roman" w:cs="Times New Roman"/>
                <w:bCs/>
                <w:sz w:val="20"/>
                <w:szCs w:val="20"/>
                <w:vertAlign w:val="superscript"/>
              </w:rPr>
              <w:t>st</w:t>
            </w:r>
            <w:r>
              <w:rPr>
                <w:rFonts w:hint="default" w:ascii="Times New Roman" w:hAnsi="Times New Roman" w:cs="Times New Roman"/>
                <w:bCs/>
                <w:sz w:val="20"/>
                <w:szCs w:val="20"/>
              </w:rPr>
              <w:t xml:space="preserve"> priority) Case 3b:</w:t>
            </w:r>
            <w:r>
              <w:rPr>
                <w:rFonts w:hint="default" w:ascii="Times New Roman" w:hAnsi="Times New Roman" w:cs="Times New Roman"/>
                <w:sz w:val="20"/>
                <w:szCs w:val="20"/>
              </w:rPr>
              <w:t xml:space="preserve"> NG-RAN node assisted positioning with LMF-side model, direct AI/ML positioning</w:t>
            </w:r>
          </w:p>
          <w:p w14:paraId="49DB225B">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AI/ML assisted positioning </w:t>
            </w:r>
            <w:r>
              <w:rPr>
                <w:rFonts w:hint="default" w:ascii="Times New Roman" w:hAnsi="Times New Roman" w:cs="Times New Roman"/>
                <w:bCs/>
                <w:sz w:val="20"/>
                <w:szCs w:val="20"/>
              </w:rPr>
              <w:tab/>
            </w:r>
            <w:r>
              <w:rPr>
                <w:rFonts w:hint="default" w:ascii="Times New Roman" w:hAnsi="Times New Roman" w:cs="Times New Roman"/>
                <w:bCs/>
                <w:sz w:val="20"/>
                <w:szCs w:val="20"/>
              </w:rPr>
              <w:tab/>
            </w:r>
            <w:r>
              <w:rPr>
                <w:rFonts w:hint="default" w:ascii="Times New Roman" w:hAnsi="Times New Roman" w:cs="Times New Roman"/>
                <w:bCs/>
                <w:sz w:val="20"/>
                <w:szCs w:val="20"/>
              </w:rPr>
              <w:t xml:space="preserve"> </w:t>
            </w:r>
          </w:p>
          <w:p w14:paraId="0E84C7E6">
            <w:pPr>
              <w:numPr>
                <w:ilvl w:val="2"/>
                <w:numId w:val="4"/>
              </w:numPr>
              <w:spacing w:after="0"/>
              <w:rPr>
                <w:rFonts w:hint="default" w:ascii="Times New Roman" w:hAnsi="Times New Roman" w:cs="Times New Roman"/>
                <w:bCs/>
                <w:color w:val="BFBFBF"/>
                <w:sz w:val="20"/>
                <w:szCs w:val="20"/>
              </w:rPr>
            </w:pPr>
            <w:r>
              <w:rPr>
                <w:rFonts w:hint="default" w:ascii="Times New Roman" w:hAnsi="Times New Roman" w:cs="Times New Roman"/>
                <w:bCs/>
                <w:sz w:val="20"/>
                <w:szCs w:val="20"/>
              </w:rPr>
              <w:t>(2</w:t>
            </w:r>
            <w:r>
              <w:rPr>
                <w:rFonts w:hint="default" w:ascii="Times New Roman" w:hAnsi="Times New Roman" w:cs="Times New Roman"/>
                <w:bCs/>
                <w:sz w:val="20"/>
                <w:szCs w:val="20"/>
                <w:vertAlign w:val="superscript"/>
              </w:rPr>
              <w:t>nd</w:t>
            </w:r>
            <w:r>
              <w:rPr>
                <w:rFonts w:hint="default" w:ascii="Times New Roman" w:hAnsi="Times New Roman" w:cs="Times New Roman"/>
                <w:bCs/>
                <w:sz w:val="20"/>
                <w:szCs w:val="20"/>
              </w:rPr>
              <w:t xml:space="preserve"> priority) Case 2a: </w:t>
            </w:r>
            <w:r>
              <w:rPr>
                <w:rFonts w:hint="default" w:ascii="Times New Roman" w:hAnsi="Times New Roman" w:cs="Times New Roman"/>
                <w:sz w:val="20"/>
                <w:szCs w:val="20"/>
              </w:rPr>
              <w:t>UE-assisted/LMF-based positioning with UE-side model, AI/ML assisted positioning</w:t>
            </w:r>
            <w:r>
              <w:rPr>
                <w:rFonts w:hint="default" w:ascii="Times New Roman" w:hAnsi="Times New Roman" w:cs="Times New Roman"/>
                <w:bCs/>
                <w:color w:val="BFBFBF"/>
                <w:sz w:val="20"/>
                <w:szCs w:val="20"/>
              </w:rPr>
              <w:tab/>
            </w:r>
          </w:p>
          <w:p w14:paraId="021F0259">
            <w:pPr>
              <w:numPr>
                <w:ilvl w:val="2"/>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(1</w:t>
            </w:r>
            <w:r>
              <w:rPr>
                <w:rFonts w:hint="default" w:ascii="Times New Roman" w:hAnsi="Times New Roman" w:cs="Times New Roman"/>
                <w:bCs/>
                <w:sz w:val="20"/>
                <w:szCs w:val="20"/>
                <w:vertAlign w:val="superscript"/>
              </w:rPr>
              <w:t>st</w:t>
            </w:r>
            <w:r>
              <w:rPr>
                <w:rFonts w:hint="default" w:ascii="Times New Roman" w:hAnsi="Times New Roman" w:cs="Times New Roman"/>
                <w:bCs/>
                <w:sz w:val="20"/>
                <w:szCs w:val="20"/>
              </w:rPr>
              <w:t xml:space="preserve"> priority) Case 3a: </w:t>
            </w:r>
            <w:r>
              <w:rPr>
                <w:rFonts w:hint="default" w:ascii="Times New Roman" w:hAnsi="Times New Roman" w:cs="Times New Roman"/>
                <w:sz w:val="20"/>
                <w:szCs w:val="20"/>
              </w:rPr>
              <w:t>NG-RAN node assisted positioning with gNB-side model, AI/ML assisted positioning</w:t>
            </w:r>
          </w:p>
          <w:p w14:paraId="4628B73D">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measurements, signalling/mechanism(s) to facilitate LCM operations specific to the Positioning accuracy enhancements use cases, if any</w:t>
            </w:r>
          </w:p>
          <w:p w14:paraId="49DF7FA9">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Investigate and specify the necessary signalling of necessary measurement enhancements (if any)</w:t>
            </w:r>
          </w:p>
          <w:p w14:paraId="1A8B4DEA">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Enabling method(s) to ensure consistency between training and inference regarding NW-side additional conditions (if identified) for inference at UE for relevant positioning sub use cases</w:t>
            </w:r>
          </w:p>
          <w:p w14:paraId="607688E2">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RAN1 will not discuss any proposals targeting 2</w:t>
            </w:r>
            <w:r>
              <w:rPr>
                <w:rFonts w:hint="default" w:ascii="Times New Roman" w:hAnsi="Times New Roman" w:cs="Times New Roman"/>
                <w:bCs/>
                <w:sz w:val="20"/>
                <w:szCs w:val="20"/>
                <w:vertAlign w:val="superscript"/>
              </w:rPr>
              <w:t>nd</w:t>
            </w:r>
            <w:r>
              <w:rPr>
                <w:rFonts w:hint="default" w:ascii="Times New Roman" w:hAnsi="Times New Roman" w:cs="Times New Roman"/>
                <w:bCs/>
                <w:sz w:val="20"/>
                <w:szCs w:val="20"/>
              </w:rPr>
              <w:t xml:space="preserve"> priority issues in Q4 of 2024.</w:t>
            </w:r>
          </w:p>
          <w:p w14:paraId="06277C74">
            <w:pPr>
              <w:numPr>
                <w:ilvl w:val="0"/>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61B320D8">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19EF4F2C">
            <w:pPr>
              <w:numPr>
                <w:ilvl w:val="1"/>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tc>
      </w:tr>
    </w:tbl>
    <w:p w14:paraId="6262D19C">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on RRM </w:t>
      </w:r>
      <w:r>
        <w:rPr>
          <w:rFonts w:hint="eastAsia" w:ascii="Times New Roman" w:hAnsi="Times New Roman"/>
          <w:sz w:val="20"/>
          <w:szCs w:val="20"/>
          <w:lang w:val="en-US" w:eastAsia="zh-CN"/>
        </w:rPr>
        <w:t xml:space="preserve">core </w:t>
      </w:r>
      <w:r>
        <w:rPr>
          <w:rFonts w:hint="eastAsia" w:ascii="Times New Roman" w:hAnsi="Times New Roman"/>
          <w:sz w:val="20"/>
          <w:szCs w:val="20"/>
        </w:rPr>
        <w:t>requirements for positioning</w:t>
      </w:r>
      <w:r>
        <w:rPr>
          <w:rFonts w:hint="eastAsia" w:ascii="Times New Roman" w:hAnsi="Times New Roman"/>
          <w:sz w:val="20"/>
          <w:szCs w:val="20"/>
          <w:lang w:val="en-US" w:eastAsia="zh-CN"/>
        </w:rPr>
        <w:t xml:space="preserve"> accuracy enhancement</w:t>
      </w:r>
      <w:r>
        <w:rPr>
          <w:rFonts w:hint="eastAsia" w:ascii="Times New Roman" w:hAnsi="Times New Roman"/>
          <w:sz w:val="20"/>
          <w:szCs w:val="20"/>
        </w:rPr>
        <w:t>.</w:t>
      </w:r>
    </w:p>
    <w:p w14:paraId="2C9595C5">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r>
        <w:rPr>
          <w:rFonts w:ascii="Times New Roman" w:hAnsi="Times New Roman"/>
          <w:i/>
          <w:sz w:val="20"/>
          <w:szCs w:val="20"/>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E81F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B55DD5D">
            <w:pPr>
              <w:rPr>
                <w:rFonts w:hint="default" w:ascii="Times New Roman" w:hAnsi="Times New Roman" w:eastAsia="游明朝" w:cs="Times New Roman"/>
                <w:b/>
                <w:sz w:val="20"/>
                <w:szCs w:val="20"/>
                <w:u w:val="single"/>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游明朝" w:cs="Times New Roman"/>
                <w:b/>
                <w:sz w:val="20"/>
                <w:szCs w:val="20"/>
                <w:u w:val="single"/>
                <w:lang w:eastAsia="ja-JP"/>
              </w:rPr>
              <w:t>3</w:t>
            </w:r>
            <w:r>
              <w:rPr>
                <w:rFonts w:hint="default" w:ascii="Times New Roman" w:hAnsi="Times New Roman" w:cs="Times New Roman"/>
                <w:b/>
                <w:sz w:val="20"/>
                <w:szCs w:val="20"/>
                <w:u w:val="single"/>
                <w:lang w:eastAsia="ko-KR"/>
              </w:rPr>
              <w:t xml:space="preserve">-1: </w:t>
            </w:r>
            <w:r>
              <w:rPr>
                <w:rFonts w:hint="default" w:ascii="Times New Roman" w:hAnsi="Times New Roman" w:eastAsia="游明朝" w:cs="Times New Roman"/>
                <w:b/>
                <w:sz w:val="20"/>
                <w:szCs w:val="20"/>
                <w:u w:val="single"/>
                <w:lang w:eastAsia="ja-JP"/>
              </w:rPr>
              <w:t>Reporting Delay Requirements for case 1</w:t>
            </w:r>
          </w:p>
          <w:p w14:paraId="4819FB65">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Agreement:</w:t>
            </w:r>
          </w:p>
          <w:p w14:paraId="27CE3DE4">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Take the framework of the existing reporting delay requirements</w:t>
            </w:r>
          </w:p>
          <w:p w14:paraId="2E291265">
            <w:pPr>
              <w:pStyle w:val="15"/>
              <w:numPr>
                <w:ilvl w:val="0"/>
                <w:numId w:val="4"/>
              </w:numPr>
              <w:overflowPunct w:val="0"/>
              <w:autoSpaceDE w:val="0"/>
              <w:autoSpaceDN w:val="0"/>
              <w:adjustRightInd w:val="0"/>
              <w:ind w:firstLineChars="0"/>
              <w:contextualSpacing/>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Reporting delay includes measurement delay, inference delay and the time needed until the UE send the report</w:t>
            </w:r>
          </w:p>
          <w:p w14:paraId="78B379DD">
            <w:pPr>
              <w:pStyle w:val="15"/>
              <w:numPr>
                <w:ilvl w:val="0"/>
                <w:numId w:val="4"/>
              </w:numPr>
              <w:overflowPunct w:val="0"/>
              <w:autoSpaceDE w:val="0"/>
              <w:autoSpaceDN w:val="0"/>
              <w:adjustRightInd w:val="0"/>
              <w:ind w:firstLineChars="0"/>
              <w:contextualSpacing/>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Check until next meeting on the number of samples needed for the measurements</w:t>
            </w:r>
          </w:p>
          <w:p w14:paraId="185716F0">
            <w:pPr>
              <w:rPr>
                <w:rFonts w:hint="default" w:ascii="Times New Roman" w:hAnsi="Times New Roman" w:eastAsia="游明朝" w:cs="Times New Roman"/>
                <w:sz w:val="20"/>
                <w:szCs w:val="20"/>
                <w:lang w:eastAsia="ja-JP"/>
              </w:rPr>
            </w:pPr>
          </w:p>
          <w:p w14:paraId="6017AE35">
            <w:pPr>
              <w:rPr>
                <w:rFonts w:hint="default" w:ascii="Times New Roman" w:hAnsi="Times New Roman" w:cs="Times New Roman"/>
                <w:b/>
                <w:sz w:val="20"/>
                <w:szCs w:val="20"/>
                <w:u w:val="single"/>
                <w:lang w:val="sv-SE"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游明朝" w:cs="Times New Roman"/>
                <w:b/>
                <w:sz w:val="20"/>
                <w:szCs w:val="20"/>
                <w:u w:val="single"/>
                <w:lang w:eastAsia="ja-JP"/>
              </w:rPr>
              <w:t>3</w:t>
            </w:r>
            <w:r>
              <w:rPr>
                <w:rFonts w:hint="default" w:ascii="Times New Roman" w:hAnsi="Times New Roman" w:cs="Times New Roman"/>
                <w:b/>
                <w:sz w:val="20"/>
                <w:szCs w:val="20"/>
                <w:u w:val="single"/>
                <w:lang w:eastAsia="ko-KR"/>
              </w:rPr>
              <w:t xml:space="preserve">-3: </w:t>
            </w:r>
            <w:r>
              <w:rPr>
                <w:rFonts w:hint="default" w:ascii="Times New Roman" w:hAnsi="Times New Roman" w:eastAsia="游明朝" w:cs="Times New Roman"/>
                <w:b/>
                <w:sz w:val="20"/>
                <w:szCs w:val="20"/>
                <w:u w:val="single"/>
                <w:lang w:eastAsia="ja-JP"/>
              </w:rPr>
              <w:t xml:space="preserve">Report mapping for </w:t>
            </w:r>
            <w:r>
              <w:rPr>
                <w:rFonts w:hint="default" w:ascii="Times New Roman" w:hAnsi="Times New Roman" w:eastAsia="游明朝" w:cs="Times New Roman"/>
                <w:b/>
                <w:sz w:val="20"/>
                <w:szCs w:val="20"/>
                <w:u w:val="single"/>
                <w:lang w:val="sv-SE" w:eastAsia="ja-JP"/>
              </w:rPr>
              <w:t>UL SRS-TDCP measurement</w:t>
            </w:r>
          </w:p>
          <w:p w14:paraId="078309DD">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491E1842">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Adopt the mapping for UL SRS-TDCP as proposed in R4-2510759</w:t>
            </w:r>
          </w:p>
          <w:p w14:paraId="229585ED">
            <w:pPr>
              <w:rPr>
                <w:rFonts w:hint="default" w:ascii="Times New Roman" w:hAnsi="Times New Roman" w:eastAsia="游明朝" w:cs="Times New Roman"/>
                <w:sz w:val="20"/>
                <w:szCs w:val="20"/>
                <w:lang w:eastAsia="ja-JP"/>
              </w:rPr>
            </w:pPr>
          </w:p>
          <w:p w14:paraId="5D3FA8CB">
            <w:pPr>
              <w:rPr>
                <w:rFonts w:hint="default" w:ascii="Times New Roman" w:hAnsi="Times New Roman" w:cs="Times New Roman"/>
                <w:b/>
                <w:sz w:val="20"/>
                <w:szCs w:val="20"/>
                <w:u w:val="single"/>
                <w:lang w:val="sv-SE"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游明朝" w:cs="Times New Roman"/>
                <w:b/>
                <w:sz w:val="20"/>
                <w:szCs w:val="20"/>
                <w:u w:val="single"/>
                <w:lang w:eastAsia="ja-JP"/>
              </w:rPr>
              <w:t>3</w:t>
            </w:r>
            <w:r>
              <w:rPr>
                <w:rFonts w:hint="default" w:ascii="Times New Roman" w:hAnsi="Times New Roman" w:cs="Times New Roman"/>
                <w:b/>
                <w:sz w:val="20"/>
                <w:szCs w:val="20"/>
                <w:u w:val="single"/>
                <w:lang w:eastAsia="ko-KR"/>
              </w:rPr>
              <w:t xml:space="preserve">-4: </w:t>
            </w:r>
            <w:r>
              <w:rPr>
                <w:rFonts w:hint="default" w:ascii="Times New Roman" w:hAnsi="Times New Roman" w:eastAsia="游明朝" w:cs="Times New Roman"/>
                <w:b/>
                <w:sz w:val="20"/>
                <w:szCs w:val="20"/>
                <w:u w:val="single"/>
                <w:lang w:eastAsia="ja-JP"/>
              </w:rPr>
              <w:t xml:space="preserve">Report mapping for </w:t>
            </w:r>
            <w:r>
              <w:rPr>
                <w:rFonts w:hint="default" w:ascii="Times New Roman" w:hAnsi="Times New Roman" w:eastAsia="游明朝" w:cs="Times New Roman"/>
                <w:b/>
                <w:sz w:val="20"/>
                <w:szCs w:val="20"/>
                <w:u w:val="single"/>
                <w:lang w:val="sv-SE" w:eastAsia="ja-JP"/>
              </w:rPr>
              <w:t>UL SRS-TDCT and UL SRS-TDCP measurements</w:t>
            </w:r>
          </w:p>
          <w:p w14:paraId="6E3B4976">
            <w:pPr>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Agreement:</w:t>
            </w:r>
          </w:p>
          <w:p w14:paraId="587C5A9B">
            <w:pPr>
              <w:rPr>
                <w:rFonts w:hint="default" w:ascii="Times New Roman" w:hAnsi="Times New Roman" w:eastAsia="Yu Mincho" w:cs="Times New Roman"/>
                <w:iCs/>
                <w:sz w:val="20"/>
                <w:szCs w:val="20"/>
                <w:lang w:eastAsia="ja-JP"/>
              </w:rPr>
            </w:pPr>
            <w:r>
              <w:rPr>
                <w:rFonts w:hint="default" w:ascii="Times New Roman" w:hAnsi="Times New Roman" w:cs="Times New Roman"/>
                <w:sz w:val="20"/>
                <w:szCs w:val="20"/>
                <w:lang w:eastAsia="ja-JP"/>
              </w:rPr>
              <w:t>Technically endorse CR in R4-</w:t>
            </w:r>
            <w:r>
              <w:rPr>
                <w:rFonts w:hint="default" w:ascii="Times New Roman" w:hAnsi="Times New Roman" w:eastAsia="游明朝" w:cs="Times New Roman"/>
                <w:sz w:val="20"/>
                <w:szCs w:val="20"/>
                <w:lang w:eastAsia="ja-JP"/>
              </w:rPr>
              <w:t>2510760, to be later merge with the rest of positioning requirements</w:t>
            </w:r>
          </w:p>
          <w:p w14:paraId="52D57230">
            <w:pPr>
              <w:pStyle w:val="15"/>
              <w:numPr>
                <w:ilvl w:val="0"/>
                <w:numId w:val="0"/>
              </w:numPr>
              <w:overflowPunct w:val="0"/>
              <w:autoSpaceDE w:val="0"/>
              <w:autoSpaceDN w:val="0"/>
              <w:adjustRightInd w:val="0"/>
              <w:contextualSpacing/>
              <w:textAlignment w:val="baseline"/>
              <w:rPr>
                <w:rFonts w:hint="default" w:ascii="Times New Roman" w:hAnsi="Times New Roman" w:eastAsia="等线" w:cs="Times New Roman"/>
                <w:bCs/>
                <w:iCs/>
                <w:sz w:val="20"/>
                <w:szCs w:val="20"/>
                <w:vertAlign w:val="baseline"/>
                <w:lang w:val="en-US" w:eastAsia="zh-CN"/>
              </w:rPr>
            </w:pPr>
          </w:p>
        </w:tc>
      </w:tr>
    </w:tbl>
    <w:p w14:paraId="5CE8B03E">
      <w:pPr>
        <w:spacing w:after="180" w:line="240" w:lineRule="exact"/>
        <w:rPr>
          <w:rFonts w:hint="eastAsia" w:ascii="Times New Roman" w:hAnsi="Times New Roman" w:eastAsia="等线" w:cs="Times New Roman"/>
          <w:bCs/>
          <w:iCs/>
          <w:sz w:val="20"/>
          <w:szCs w:val="20"/>
          <w:lang w:val="en-US" w:eastAsia="zh-CN"/>
        </w:rPr>
      </w:pPr>
    </w:p>
    <w:p w14:paraId="108C9BB7">
      <w:pPr>
        <w:spacing w:after="180" w:line="240" w:lineRule="exact"/>
        <w:rPr>
          <w:rFonts w:hint="eastAsia" w:ascii="Times New Roman" w:hAnsi="Times New Roman" w:eastAsia="宋体" w:cs="Times New Roman"/>
          <w:iCs/>
          <w:sz w:val="20"/>
          <w:szCs w:val="20"/>
          <w:lang w:val="en-US" w:eastAsia="zh-CN"/>
        </w:rPr>
      </w:pPr>
      <w:r>
        <w:rPr>
          <w:rFonts w:hint="eastAsia" w:ascii="Times New Roman" w:hAnsi="Times New Roman" w:eastAsia="等线" w:cs="Times New Roman"/>
          <w:bCs/>
          <w:iCs/>
          <w:sz w:val="20"/>
          <w:szCs w:val="20"/>
          <w:lang w:val="en-US" w:eastAsia="zh-CN"/>
        </w:rPr>
        <w:t xml:space="preserve">For case 1, it was agreed that the reporting delay includes measurement delay, inference delay and the time needed until the UE send the report. One FFS is the number of </w:t>
      </w:r>
      <w:r>
        <w:rPr>
          <w:rFonts w:hint="default" w:ascii="Times New Roman" w:hAnsi="Times New Roman" w:eastAsia="游明朝" w:cs="Times New Roman"/>
          <w:iCs/>
          <w:sz w:val="20"/>
          <w:szCs w:val="20"/>
          <w:lang w:eastAsia="ja-JP"/>
        </w:rPr>
        <w:t>samples needed for the measurements</w:t>
      </w:r>
      <w:r>
        <w:rPr>
          <w:rFonts w:hint="eastAsia" w:ascii="Times New Roman" w:hAnsi="Times New Roman" w:eastAsia="宋体" w:cs="Times New Roman"/>
          <w:iCs/>
          <w:sz w:val="20"/>
          <w:szCs w:val="20"/>
          <w:lang w:val="en-US" w:eastAsia="zh-CN"/>
        </w:rPr>
        <w:t>.</w:t>
      </w:r>
    </w:p>
    <w:p w14:paraId="264BF824">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For legacy measurement for positioning, the number of samples depends on UE capability and LMF request. Taking </w:t>
      </w:r>
      <w:r>
        <w:rPr>
          <w:rFonts w:hint="default" w:ascii="Times New Roman" w:hAnsi="Times New Roman" w:cs="Times New Roman"/>
          <w:sz w:val="20"/>
          <w:szCs w:val="20"/>
        </w:rPr>
        <w:t>UE Rx-Tx time difference measurement</w:t>
      </w:r>
      <w:r>
        <w:rPr>
          <w:rFonts w:hint="eastAsia" w:ascii="Times New Roman" w:hAnsi="Times New Roman" w:cs="Times New Roman"/>
          <w:sz w:val="20"/>
          <w:szCs w:val="20"/>
          <w:lang w:val="en-US" w:eastAsia="zh-CN"/>
        </w:rPr>
        <w:t xml:space="preserve"> as an example, part of legacy spec on number of samples is duplicated as following</w:t>
      </w:r>
      <w:r>
        <w:rPr>
          <w:rFonts w:hint="eastAsia" w:ascii="Times New Roman" w:hAnsi="Times New Roman" w:eastAsia="等线" w:cs="Times New Roman"/>
          <w:bCs/>
          <w:iCs/>
          <w:sz w:val="20"/>
          <w:szCs w:val="20"/>
          <w:lang w:val="en-US" w:eastAsia="zh-CN"/>
        </w:rPr>
        <w:t xml:space="preserve">. Same approach are used for other positioning measurement types.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511C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1E7AECA">
            <w:pP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 xml:space="preserve">TS 38.133, </w:t>
            </w:r>
          </w:p>
          <w:p w14:paraId="41D4977A">
            <w:pPr>
              <w:ind w:left="568" w:hanging="284"/>
              <w:rPr>
                <w:rFonts w:hint="default" w:ascii="Times New Roman" w:hAnsi="Times New Roman" w:cs="Times New Roman"/>
                <w:sz w:val="20"/>
                <w:szCs w:val="20"/>
              </w:rPr>
            </w:pPr>
            <w:r>
              <w:rPr>
                <w:rFonts w:hint="default" w:ascii="Times New Roman" w:hAnsi="Times New Roman" w:cs="Times New Roman" w:eastAsiaTheme="minorEastAsia"/>
                <w:sz w:val="20"/>
                <w:szCs w:val="20"/>
              </w:rPr>
              <w:tab/>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sample</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is the number of UE Rx-Tx time difference measurement samples:</w:t>
            </w:r>
          </w:p>
          <w:p w14:paraId="5DB1E3A6">
            <w:pPr>
              <w:ind w:left="851" w:hanging="28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sample</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1 if the UE is capable of </w:t>
            </w:r>
            <w:r>
              <w:rPr>
                <w:rFonts w:hint="default" w:ascii="Times New Roman" w:hAnsi="Times New Roman" w:cs="Times New Roman"/>
                <w:i/>
                <w:iCs/>
                <w:sz w:val="20"/>
                <w:szCs w:val="20"/>
              </w:rPr>
              <w:t>supportedDL-PRS-ProcessingSamples</w:t>
            </w:r>
            <w:r>
              <w:rPr>
                <w:rFonts w:hint="default" w:ascii="Times New Roman" w:hAnsi="Times New Roman" w:eastAsia="宋体" w:cs="Times New Roman"/>
                <w:i/>
                <w:iCs/>
                <w:sz w:val="20"/>
                <w:szCs w:val="20"/>
                <w:lang w:eastAsia="zh-CN"/>
              </w:rPr>
              <w:t>-RRC-CONNECTED</w:t>
            </w:r>
            <w:r>
              <w:rPr>
                <w:rFonts w:hint="default" w:ascii="Times New Roman" w:hAnsi="Times New Roman" w:cs="Times New Roman"/>
                <w:sz w:val="20"/>
                <w:szCs w:val="20"/>
              </w:rPr>
              <w:t xml:space="preserve"> defined in [34] and LMF requests the UE to perform positioning measurements with reduced number of samples by </w:t>
            </w:r>
            <w:r>
              <w:rPr>
                <w:rFonts w:hint="default" w:ascii="Times New Roman" w:hAnsi="Times New Roman" w:cs="Times New Roman"/>
                <w:i/>
                <w:iCs/>
                <w:sz w:val="20"/>
                <w:szCs w:val="20"/>
              </w:rPr>
              <w:t>re</w:t>
            </w:r>
            <w:r>
              <w:rPr>
                <w:rFonts w:hint="default" w:ascii="Times New Roman" w:hAnsi="Times New Roman" w:eastAsia="宋体" w:cs="Times New Roman"/>
                <w:i/>
                <w:iCs/>
                <w:sz w:val="20"/>
                <w:szCs w:val="20"/>
                <w:lang w:eastAsia="zh-CN"/>
              </w:rPr>
              <w:t>duced</w:t>
            </w:r>
            <w:r>
              <w:rPr>
                <w:rFonts w:hint="default" w:ascii="Times New Roman" w:hAnsi="Times New Roman" w:cs="Times New Roman"/>
                <w:i/>
                <w:iCs/>
                <w:sz w:val="20"/>
                <w:szCs w:val="20"/>
              </w:rPr>
              <w:t>DL-PRS-ProcessingSamples</w:t>
            </w:r>
            <w:r>
              <w:rPr>
                <w:rFonts w:hint="default" w:ascii="Times New Roman" w:hAnsi="Times New Roman" w:cs="Times New Roman"/>
                <w:sz w:val="20"/>
                <w:szCs w:val="20"/>
              </w:rPr>
              <w:t xml:space="preserve"> [34] and the following conditions are met:</w:t>
            </w:r>
          </w:p>
          <w:p w14:paraId="0C772F93">
            <w:pPr>
              <w:ind w:left="1135" w:hanging="28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PRS bandwidth is within the active BWP and </w:t>
            </w:r>
          </w:p>
          <w:p w14:paraId="6115D195">
            <w:pPr>
              <w:ind w:left="1135" w:hanging="28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Magnitude of difference between the serving cell’s SS-RSRP and the neighbor cell’s PRS-RSRP is within 6 dB.</w:t>
            </w:r>
          </w:p>
          <w:p w14:paraId="1D1635A5">
            <w:pPr>
              <w:ind w:left="851" w:hanging="28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sample</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2 if the UE is capable of </w:t>
            </w:r>
            <w:r>
              <w:rPr>
                <w:rFonts w:hint="default" w:ascii="Times New Roman" w:hAnsi="Times New Roman" w:cs="Times New Roman"/>
                <w:i/>
                <w:iCs/>
                <w:sz w:val="20"/>
                <w:szCs w:val="20"/>
              </w:rPr>
              <w:t>supportedDL-PRS-ProcessingSamples</w:t>
            </w:r>
            <w:r>
              <w:rPr>
                <w:rFonts w:hint="default" w:ascii="Times New Roman" w:hAnsi="Times New Roman" w:eastAsia="宋体" w:cs="Times New Roman"/>
                <w:i/>
                <w:iCs/>
                <w:sz w:val="20"/>
                <w:szCs w:val="20"/>
                <w:lang w:eastAsia="zh-CN"/>
              </w:rPr>
              <w:t>-RRC-CONNECTED</w:t>
            </w:r>
            <w:r>
              <w:rPr>
                <w:rFonts w:hint="default" w:ascii="Times New Roman" w:hAnsi="Times New Roman" w:cs="Times New Roman"/>
                <w:sz w:val="20"/>
                <w:szCs w:val="20"/>
              </w:rPr>
              <w:t xml:space="preserve"> defined in [34] and the LMF requests the UE to perform positioning measurements with reduced number of samples by </w:t>
            </w:r>
            <w:r>
              <w:rPr>
                <w:rFonts w:hint="default" w:ascii="Times New Roman" w:hAnsi="Times New Roman" w:cs="Times New Roman"/>
                <w:i/>
                <w:iCs/>
                <w:sz w:val="20"/>
                <w:szCs w:val="20"/>
              </w:rPr>
              <w:t>re</w:t>
            </w:r>
            <w:r>
              <w:rPr>
                <w:rFonts w:hint="default" w:ascii="Times New Roman" w:hAnsi="Times New Roman" w:eastAsia="宋体" w:cs="Times New Roman"/>
                <w:i/>
                <w:iCs/>
                <w:sz w:val="20"/>
                <w:szCs w:val="20"/>
                <w:lang w:eastAsia="zh-CN"/>
              </w:rPr>
              <w:t>duced</w:t>
            </w:r>
            <w:r>
              <w:rPr>
                <w:rFonts w:hint="default" w:ascii="Times New Roman" w:hAnsi="Times New Roman" w:cs="Times New Roman"/>
                <w:i/>
                <w:iCs/>
                <w:sz w:val="20"/>
                <w:szCs w:val="20"/>
              </w:rPr>
              <w:t>DL-PRS-ProcessingSamples</w:t>
            </w:r>
            <w:r>
              <w:rPr>
                <w:rFonts w:hint="default" w:ascii="Times New Roman" w:hAnsi="Times New Roman" w:cs="Times New Roman"/>
                <w:sz w:val="20"/>
                <w:szCs w:val="20"/>
              </w:rPr>
              <w:t xml:space="preserve"> [34] but the following conditions are not met:</w:t>
            </w:r>
          </w:p>
          <w:p w14:paraId="7814BFB9">
            <w:pPr>
              <w:ind w:left="1135" w:hanging="28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PRS bandwidth is within the active BWP and</w:t>
            </w:r>
          </w:p>
          <w:p w14:paraId="4F0C12AB">
            <w:pPr>
              <w:ind w:left="1135" w:hanging="28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Magnitude of difference between the serving cell’s SS-RSRP and the neighbor cell’s PRS-RSRP is within 6 dB.</w:t>
            </w:r>
          </w:p>
          <w:p w14:paraId="4B910318">
            <w:pPr>
              <w:ind w:left="851" w:hanging="284"/>
              <w:rPr>
                <w:rFonts w:hint="default" w:ascii="Times New Roman" w:hAnsi="Times New Roman" w:eastAsia="Calibri" w:cs="Times New Roman"/>
                <w:sz w:val="20"/>
                <w:szCs w:val="20"/>
              </w:rPr>
            </w:pPr>
            <w:r>
              <w:rPr>
                <w:rFonts w:hint="default" w:ascii="Times New Roman" w:hAnsi="Times New Roman" w:eastAsia="MS Mincho" w:cs="Times New Roman"/>
                <w:sz w:val="20"/>
                <w:szCs w:val="20"/>
              </w:rPr>
              <w:t>-</w:t>
            </w:r>
            <w:r>
              <w:rPr>
                <w:rFonts w:hint="default" w:ascii="Times New Roman" w:hAnsi="Times New Roman" w:eastAsia="MS Mincho" w:cs="Times New Roman"/>
                <w:sz w:val="20"/>
                <w:szCs w:val="20"/>
              </w:rPr>
              <w:tab/>
            </w:r>
            <m:oMath>
              <m:sSub>
                <m:sSubPr>
                  <m:ctrlPr>
                    <w:rPr>
                      <w:rFonts w:hint="default" w:ascii="Cambria Math" w:hAnsi="Cambria Math" w:cs="Times New Roman"/>
                      <w:sz w:val="20"/>
                      <w:szCs w:val="20"/>
                    </w:rPr>
                  </m:ctrlPr>
                </m:sSubPr>
                <m:e>
                  <m:r>
                    <m:rPr/>
                    <w:rPr>
                      <w:rFonts w:hint="default" w:ascii="Cambria Math" w:hAnsi="Cambria Math" w:cs="Times New Roman"/>
                      <w:sz w:val="20"/>
                      <w:szCs w:val="20"/>
                    </w:rPr>
                    <m:t>N</m:t>
                  </m:r>
                  <m:ctrlPr>
                    <w:rPr>
                      <w:rFonts w:hint="default" w:ascii="Cambria Math" w:hAnsi="Cambria Math" w:cs="Times New Roman"/>
                      <w:sz w:val="20"/>
                      <w:szCs w:val="20"/>
                    </w:rPr>
                  </m:ctrlPr>
                </m:e>
                <m:sub>
                  <m:r>
                    <m:rPr/>
                    <w:rPr>
                      <w:rFonts w:hint="default" w:ascii="Cambria Math" w:hAnsi="Cambria Math" w:cs="Times New Roman"/>
                      <w:sz w:val="20"/>
                      <w:szCs w:val="20"/>
                    </w:rPr>
                    <m:t>sample</m:t>
                  </m:r>
                  <m:ctrlPr>
                    <w:rPr>
                      <w:rFonts w:hint="default" w:ascii="Cambria Math" w:hAnsi="Cambria Math" w:cs="Times New Roman"/>
                      <w:sz w:val="20"/>
                      <w:szCs w:val="20"/>
                    </w:rPr>
                  </m:ctrlPr>
                </m:sub>
              </m:sSub>
            </m:oMath>
            <w:r>
              <w:rPr>
                <w:rFonts w:hint="default" w:ascii="Times New Roman" w:hAnsi="Times New Roman" w:cs="Times New Roman"/>
                <w:sz w:val="20"/>
                <w:szCs w:val="20"/>
              </w:rPr>
              <w:t>= 4 otherwise.</w:t>
            </w:r>
          </w:p>
          <w:p w14:paraId="21E55681">
            <w:pPr>
              <w:spacing w:after="180" w:line="240" w:lineRule="exact"/>
              <w:rPr>
                <w:rFonts w:hint="default" w:ascii="Times New Roman" w:hAnsi="Times New Roman" w:eastAsia="等线" w:cs="Times New Roman"/>
                <w:bCs/>
                <w:iCs/>
                <w:sz w:val="20"/>
                <w:szCs w:val="20"/>
                <w:vertAlign w:val="baseline"/>
                <w:lang w:val="en-US" w:eastAsia="zh-CN"/>
              </w:rPr>
            </w:pPr>
          </w:p>
        </w:tc>
      </w:tr>
    </w:tbl>
    <w:p w14:paraId="1D4B4ECC">
      <w:pPr>
        <w:spacing w:after="180" w:line="240" w:lineRule="exact"/>
        <w:rPr>
          <w:rFonts w:hint="eastAsia" w:ascii="Times New Roman" w:hAnsi="Times New Roman" w:eastAsia="等线" w:cs="Times New Roman"/>
          <w:bCs/>
          <w:iCs/>
          <w:sz w:val="20"/>
          <w:szCs w:val="20"/>
          <w:lang w:val="en-US" w:eastAsia="zh-CN"/>
        </w:rPr>
      </w:pPr>
    </w:p>
    <w:p w14:paraId="7EC8B757">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The measurement as input for AI/ML model is smilar as legacy measurement. And the leagcy apporach can be used. In detail, the number of samples can be 1, 2, or 4 based on the UE capability and LMF request.</w:t>
      </w:r>
    </w:p>
    <w:p w14:paraId="225DE211">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for case 1, the number of measurement samples can be 1, 2, or 4 based on the UE capability and LMF request, similar as legacy positioning measurement. </w:t>
      </w:r>
    </w:p>
    <w:p w14:paraId="3F8C8637">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Case 3a is NG-RAN node assisted positioning with gNB-side model (AI/ML assisted positioning). Case 3b is NG-RAN node assisted positioning with LMF-side model (direct AI/ML positioning). For case 3a/3b, the agreements reached in RAN4 previous meetings are summarized in following table.</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EEA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07DB64D">
            <w:pPr>
              <w:spacing w:after="180" w:line="240" w:lineRule="exact"/>
              <w:rPr>
                <w:rFonts w:hint="default" w:ascii="Times New Roman" w:hAnsi="Times New Roman" w:eastAsia="等线" w:cs="Times New Roman"/>
                <w:b/>
                <w:bCs w:val="0"/>
                <w:iCs/>
                <w:sz w:val="20"/>
                <w:szCs w:val="20"/>
                <w:highlight w:val="green"/>
                <w:vertAlign w:val="baseline"/>
                <w:lang w:val="en-US" w:eastAsia="zh-CN"/>
              </w:rPr>
            </w:pPr>
            <w:r>
              <w:rPr>
                <w:rFonts w:hint="default" w:ascii="Times New Roman" w:hAnsi="Times New Roman" w:eastAsia="等线" w:cs="Times New Roman"/>
                <w:b/>
                <w:bCs w:val="0"/>
                <w:iCs/>
                <w:sz w:val="20"/>
                <w:szCs w:val="20"/>
                <w:highlight w:val="green"/>
                <w:vertAlign w:val="baseline"/>
                <w:lang w:val="en-US" w:eastAsia="zh-CN"/>
              </w:rPr>
              <w:t>Agreements in RAN4#112bis (R4-2417212)</w:t>
            </w:r>
          </w:p>
          <w:p w14:paraId="170F529D">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3-</w:t>
            </w:r>
            <w:r>
              <w:rPr>
                <w:rFonts w:hint="default" w:ascii="Times New Roman" w:hAnsi="Times New Roman" w:eastAsia="游明朝" w:cs="Times New Roman"/>
                <w:b/>
                <w:sz w:val="20"/>
                <w:szCs w:val="20"/>
                <w:u w:val="single"/>
                <w:lang w:eastAsia="ja-JP"/>
              </w:rPr>
              <w:t>3</w:t>
            </w:r>
            <w:r>
              <w:rPr>
                <w:rFonts w:hint="default" w:ascii="Times New Roman" w:hAnsi="Times New Roman" w:cs="Times New Roman"/>
                <w:b/>
                <w:sz w:val="20"/>
                <w:szCs w:val="20"/>
                <w:u w:val="single"/>
                <w:lang w:eastAsia="ko-KR"/>
              </w:rPr>
              <w:t xml:space="preserve">: </w:t>
            </w:r>
            <w:r>
              <w:rPr>
                <w:rFonts w:hint="default" w:ascii="Times New Roman" w:hAnsi="Times New Roman" w:eastAsia="游明朝" w:cs="Times New Roman"/>
                <w:b/>
                <w:sz w:val="20"/>
                <w:szCs w:val="20"/>
                <w:u w:val="single"/>
                <w:lang w:eastAsia="ja-JP"/>
              </w:rPr>
              <w:t>Report applicability for existing reported metrics</w:t>
            </w:r>
          </w:p>
          <w:p w14:paraId="170F529E">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r>
              <w:rPr>
                <w:rFonts w:hint="default" w:ascii="Times New Roman" w:hAnsi="Times New Roman" w:cs="Times New Roman"/>
                <w:sz w:val="20"/>
                <w:szCs w:val="20"/>
                <w:lang w:eastAsia="zh-CN"/>
              </w:rPr>
              <w:t xml:space="preserve"> </w:t>
            </w:r>
          </w:p>
          <w:p w14:paraId="170F529F">
            <w:pPr>
              <w:spacing w:after="120"/>
              <w:rPr>
                <w:rFonts w:hint="default" w:ascii="Times New Roman" w:hAnsi="Times New Roman" w:eastAsia="游明朝" w:cs="Times New Roman"/>
                <w:sz w:val="20"/>
                <w:szCs w:val="20"/>
                <w:lang w:eastAsia="ja-JP"/>
              </w:rPr>
            </w:pPr>
            <w:r>
              <w:rPr>
                <w:rFonts w:hint="default" w:ascii="Times New Roman" w:hAnsi="Times New Roman" w:cs="Times New Roman"/>
                <w:sz w:val="20"/>
                <w:szCs w:val="20"/>
                <w:lang w:eastAsia="zh-CN"/>
              </w:rPr>
              <w:t>Extend applicability of existing report mappings for UL-RToA and UL SRS-RSRPP to report UL measurements for AI/ML based positioning use cases</w:t>
            </w:r>
            <w:r>
              <w:rPr>
                <w:rFonts w:hint="default" w:ascii="Times New Roman" w:hAnsi="Times New Roman" w:cs="Times New Roman"/>
                <w:sz w:val="20"/>
                <w:szCs w:val="20"/>
                <w:lang w:val="sv-SE" w:eastAsia="zh-CN"/>
              </w:rPr>
              <w:t xml:space="preserve"> 3a/3b</w:t>
            </w:r>
            <w:r>
              <w:rPr>
                <w:rFonts w:hint="default" w:ascii="Times New Roman" w:hAnsi="Times New Roman" w:cs="Times New Roman"/>
                <w:sz w:val="20"/>
                <w:szCs w:val="20"/>
                <w:lang w:eastAsia="zh-CN"/>
              </w:rPr>
              <w:t>.</w:t>
            </w:r>
          </w:p>
          <w:p w14:paraId="4BBEA90C">
            <w:pPr>
              <w:spacing w:after="180" w:line="240" w:lineRule="exact"/>
              <w:rPr>
                <w:rFonts w:hint="default" w:ascii="Times New Roman" w:hAnsi="Times New Roman" w:eastAsia="等线" w:cs="Times New Roman"/>
                <w:bCs/>
                <w:iCs/>
                <w:sz w:val="20"/>
                <w:szCs w:val="20"/>
                <w:vertAlign w:val="baseline"/>
                <w:lang w:val="en-US" w:eastAsia="zh-CN"/>
              </w:rPr>
            </w:pPr>
          </w:p>
          <w:p w14:paraId="07835378">
            <w:pPr>
              <w:spacing w:after="180" w:line="240" w:lineRule="exact"/>
              <w:rPr>
                <w:rFonts w:hint="default" w:ascii="Times New Roman" w:hAnsi="Times New Roman" w:eastAsia="等线" w:cs="Times New Roman"/>
                <w:b/>
                <w:bCs w:val="0"/>
                <w:iCs/>
                <w:sz w:val="20"/>
                <w:szCs w:val="20"/>
                <w:highlight w:val="green"/>
                <w:vertAlign w:val="baseline"/>
                <w:lang w:val="en-US" w:eastAsia="zh-CN"/>
              </w:rPr>
            </w:pPr>
            <w:r>
              <w:rPr>
                <w:rFonts w:hint="default" w:ascii="Times New Roman" w:hAnsi="Times New Roman" w:eastAsia="等线" w:cs="Times New Roman"/>
                <w:b/>
                <w:bCs w:val="0"/>
                <w:iCs/>
                <w:sz w:val="20"/>
                <w:szCs w:val="20"/>
                <w:highlight w:val="green"/>
                <w:vertAlign w:val="baseline"/>
                <w:lang w:val="en-US" w:eastAsia="zh-CN"/>
              </w:rPr>
              <w:t>Agreements in RAN4#114 (R4-2502856)</w:t>
            </w:r>
          </w:p>
          <w:p w14:paraId="0F822B44">
            <w:pPr>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 xml:space="preserve">Issue </w:t>
            </w:r>
            <w:r>
              <w:rPr>
                <w:rFonts w:hint="default" w:ascii="Times New Roman" w:hAnsi="Times New Roman" w:eastAsia="Yu Mincho" w:cs="Times New Roman"/>
                <w:b/>
                <w:sz w:val="20"/>
                <w:szCs w:val="20"/>
                <w:u w:val="single"/>
                <w:lang w:eastAsia="ja-JP"/>
              </w:rPr>
              <w:t>3</w:t>
            </w:r>
            <w:r>
              <w:rPr>
                <w:rFonts w:hint="default" w:ascii="Times New Roman" w:hAnsi="Times New Roman" w:cs="Times New Roman"/>
                <w:b/>
                <w:sz w:val="20"/>
                <w:szCs w:val="20"/>
                <w:u w:val="single"/>
              </w:rPr>
              <w:t xml:space="preserve">-4: </w:t>
            </w:r>
            <w:r>
              <w:rPr>
                <w:rFonts w:hint="default" w:ascii="Times New Roman" w:hAnsi="Times New Roman" w:eastAsia="Yu Mincho" w:cs="Times New Roman"/>
                <w:b/>
                <w:sz w:val="20"/>
                <w:szCs w:val="20"/>
                <w:u w:val="single"/>
                <w:lang w:eastAsia="ja-JP"/>
              </w:rPr>
              <w:t>Report mapping for UL SRS-RSRP</w:t>
            </w:r>
          </w:p>
          <w:p w14:paraId="0FC29491">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 xml:space="preserve">Agreement: </w:t>
            </w:r>
          </w:p>
          <w:p w14:paraId="36CA2F61">
            <w:pPr>
              <w:pStyle w:val="15"/>
              <w:numPr>
                <w:ilvl w:val="0"/>
                <w:numId w:val="5"/>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Reuse the report mapping for UL SRS-RSRP to Case 3a</w:t>
            </w:r>
          </w:p>
          <w:p w14:paraId="20DAFC3D">
            <w:pPr>
              <w:spacing w:after="180" w:line="240" w:lineRule="exact"/>
              <w:rPr>
                <w:rFonts w:hint="default" w:ascii="Times New Roman" w:hAnsi="Times New Roman" w:eastAsia="等线" w:cs="Times New Roman"/>
                <w:bCs/>
                <w:iCs/>
                <w:sz w:val="20"/>
                <w:szCs w:val="20"/>
                <w:vertAlign w:val="baseline"/>
                <w:lang w:val="en-US" w:eastAsia="zh-CN"/>
              </w:rPr>
            </w:pPr>
          </w:p>
          <w:p w14:paraId="24D7D399">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
                <w:bCs w:val="0"/>
                <w:iCs/>
                <w:sz w:val="20"/>
                <w:szCs w:val="20"/>
                <w:highlight w:val="green"/>
                <w:vertAlign w:val="baseline"/>
                <w:lang w:val="en-US" w:eastAsia="zh-CN"/>
              </w:rPr>
              <w:t>Agreements in RAN4#114bis (R4-2505105)</w:t>
            </w:r>
          </w:p>
          <w:p w14:paraId="0560169F">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游明朝" w:cs="Times New Roman"/>
                <w:b/>
                <w:sz w:val="20"/>
                <w:szCs w:val="20"/>
                <w:u w:val="single"/>
                <w:lang w:eastAsia="ja-JP"/>
              </w:rPr>
              <w:t>3</w:t>
            </w:r>
            <w:r>
              <w:rPr>
                <w:rFonts w:hint="default" w:ascii="Times New Roman" w:hAnsi="Times New Roman" w:cs="Times New Roman"/>
                <w:b/>
                <w:sz w:val="20"/>
                <w:szCs w:val="20"/>
                <w:u w:val="single"/>
                <w:lang w:eastAsia="ko-KR"/>
              </w:rPr>
              <w:t xml:space="preserve">-3: </w:t>
            </w:r>
            <w:r>
              <w:rPr>
                <w:rFonts w:hint="default" w:ascii="Times New Roman" w:hAnsi="Times New Roman" w:eastAsia="游明朝" w:cs="Times New Roman"/>
                <w:b/>
                <w:sz w:val="20"/>
                <w:szCs w:val="20"/>
                <w:u w:val="single"/>
                <w:lang w:eastAsia="ja-JP"/>
              </w:rPr>
              <w:t>Rx-Tx time difference for case 3a</w:t>
            </w:r>
          </w:p>
          <w:p w14:paraId="7562DA2B">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6C58A16C">
            <w:pPr>
              <w:pStyle w:val="15"/>
              <w:numPr>
                <w:ilvl w:val="0"/>
                <w:numId w:val="6"/>
              </w:numPr>
              <w:overflowPunct w:val="0"/>
              <w:autoSpaceDE w:val="0"/>
              <w:autoSpaceDN w:val="0"/>
              <w:adjustRightInd w:val="0"/>
              <w:spacing w:after="120"/>
              <w:ind w:left="426"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Introduce gNB Rx-Tx time difference reporting accuracy requirements</w:t>
            </w:r>
          </w:p>
          <w:p w14:paraId="1F35AB8A">
            <w:pPr>
              <w:pStyle w:val="15"/>
              <w:numPr>
                <w:ilvl w:val="2"/>
                <w:numId w:val="7"/>
              </w:numPr>
              <w:spacing w:after="120"/>
              <w:ind w:left="851" w:firstLineChars="0"/>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Reuse legacy accuracy requirements</w:t>
            </w:r>
          </w:p>
          <w:p w14:paraId="509487DD">
            <w:pPr>
              <w:rPr>
                <w:rFonts w:hint="default" w:ascii="Times New Roman" w:hAnsi="Times New Roman" w:cs="Times New Roman" w:eastAsiaTheme="minorEastAsia"/>
                <w:sz w:val="20"/>
                <w:szCs w:val="20"/>
                <w:lang w:eastAsia="ja-JP"/>
              </w:rPr>
            </w:pPr>
          </w:p>
          <w:p w14:paraId="270BCFC9">
            <w:pPr>
              <w:rPr>
                <w:rFonts w:hint="default" w:ascii="Times New Roman" w:hAnsi="Times New Roman" w:cs="Times New Roman" w:eastAsiaTheme="minorEastAsia"/>
                <w:sz w:val="20"/>
                <w:szCs w:val="20"/>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游明朝" w:cs="Times New Roman"/>
                <w:b/>
                <w:sz w:val="20"/>
                <w:szCs w:val="20"/>
                <w:u w:val="single"/>
                <w:lang w:eastAsia="ja-JP"/>
              </w:rPr>
              <w:t>3</w:t>
            </w:r>
            <w:r>
              <w:rPr>
                <w:rFonts w:hint="default" w:ascii="Times New Roman" w:hAnsi="Times New Roman" w:cs="Times New Roman"/>
                <w:b/>
                <w:sz w:val="20"/>
                <w:szCs w:val="20"/>
                <w:u w:val="single"/>
                <w:lang w:eastAsia="ko-KR"/>
              </w:rPr>
              <w:t xml:space="preserve">-4: </w:t>
            </w:r>
            <w:r>
              <w:rPr>
                <w:rFonts w:hint="default" w:ascii="Times New Roman" w:hAnsi="Times New Roman" w:eastAsia="游明朝" w:cs="Times New Roman"/>
                <w:b/>
                <w:sz w:val="20"/>
                <w:szCs w:val="20"/>
                <w:u w:val="single"/>
                <w:lang w:eastAsia="ja-JP"/>
              </w:rPr>
              <w:t>Report mapping for gNB Rx-Tx time difference</w:t>
            </w:r>
          </w:p>
          <w:p w14:paraId="55BFDB7E">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0729DE49">
            <w:pPr>
              <w:pStyle w:val="15"/>
              <w:numPr>
                <w:ilvl w:val="0"/>
                <w:numId w:val="6"/>
              </w:numPr>
              <w:overflowPunct w:val="0"/>
              <w:autoSpaceDE w:val="0"/>
              <w:autoSpaceDN w:val="0"/>
              <w:adjustRightInd w:val="0"/>
              <w:spacing w:after="120"/>
              <w:ind w:left="426" w:firstLineChars="0"/>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Reuse the existing report mapping for gNB Rx-Tx time difference measurements</w:t>
            </w:r>
          </w:p>
          <w:p w14:paraId="0BBA2095">
            <w:pPr>
              <w:spacing w:after="180" w:line="240" w:lineRule="exact"/>
              <w:rPr>
                <w:rFonts w:hint="default" w:ascii="Times New Roman" w:hAnsi="Times New Roman" w:eastAsia="等线" w:cs="Times New Roman"/>
                <w:b/>
                <w:bCs w:val="0"/>
                <w:iCs/>
                <w:sz w:val="20"/>
                <w:szCs w:val="20"/>
                <w:highlight w:val="green"/>
                <w:vertAlign w:val="baseline"/>
                <w:lang w:val="en-US" w:eastAsia="zh-CN"/>
              </w:rPr>
            </w:pPr>
          </w:p>
          <w:p w14:paraId="44DBF8DE">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
                <w:bCs w:val="0"/>
                <w:iCs/>
                <w:sz w:val="20"/>
                <w:szCs w:val="20"/>
                <w:highlight w:val="green"/>
                <w:vertAlign w:val="baseline"/>
                <w:lang w:val="en-US" w:eastAsia="zh-CN"/>
              </w:rPr>
              <w:t>Agreements in RAN4#115 (R4-2508080)</w:t>
            </w:r>
          </w:p>
          <w:p w14:paraId="71134AC8">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3</w:t>
            </w:r>
            <w:r>
              <w:rPr>
                <w:rFonts w:hint="default" w:ascii="Times New Roman" w:hAnsi="Times New Roman" w:cs="Times New Roman"/>
                <w:b/>
                <w:sz w:val="20"/>
                <w:szCs w:val="20"/>
                <w:u w:val="single"/>
                <w:lang w:eastAsia="ko-KR"/>
              </w:rPr>
              <w:t xml:space="preserve">-3: </w:t>
            </w:r>
            <w:r>
              <w:rPr>
                <w:rFonts w:hint="default" w:ascii="Times New Roman" w:hAnsi="Times New Roman" w:eastAsia="Yu Mincho" w:cs="Times New Roman"/>
                <w:b/>
                <w:sz w:val="20"/>
                <w:szCs w:val="20"/>
                <w:u w:val="single"/>
                <w:lang w:eastAsia="ja-JP"/>
              </w:rPr>
              <w:t>Requirements for case 3b</w:t>
            </w:r>
          </w:p>
          <w:p w14:paraId="33B60CD5">
            <w:pPr>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Agreement:</w:t>
            </w:r>
          </w:p>
          <w:p w14:paraId="4E674520">
            <w:pPr>
              <w:pStyle w:val="15"/>
              <w:numPr>
                <w:ilvl w:val="0"/>
                <w:numId w:val="8"/>
              </w:numPr>
              <w:overflowPunct w:val="0"/>
              <w:autoSpaceDE w:val="0"/>
              <w:autoSpaceDN w:val="0"/>
              <w:adjustRightInd w:val="0"/>
              <w:ind w:left="567" w:hanging="141" w:firstLineChars="0"/>
              <w:contextualSpacing/>
              <w:textAlignment w:val="baseline"/>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Reuse legacy path based Rx-Tx accuracy requirements for case 3b</w:t>
            </w:r>
          </w:p>
          <w:p w14:paraId="4FC4A85B">
            <w:pPr>
              <w:pStyle w:val="15"/>
              <w:numPr>
                <w:ilvl w:val="0"/>
                <w:numId w:val="8"/>
              </w:numPr>
              <w:overflowPunct w:val="0"/>
              <w:autoSpaceDE w:val="0"/>
              <w:autoSpaceDN w:val="0"/>
              <w:adjustRightInd w:val="0"/>
              <w:ind w:left="567" w:hanging="141" w:firstLineChars="0"/>
              <w:contextualSpacing/>
              <w:textAlignment w:val="baseline"/>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Requirement applies only for the 1</w:t>
            </w:r>
            <w:r>
              <w:rPr>
                <w:rFonts w:hint="default" w:ascii="Times New Roman" w:hAnsi="Times New Roman" w:cs="Times New Roman"/>
                <w:sz w:val="20"/>
                <w:szCs w:val="20"/>
                <w:vertAlign w:val="superscript"/>
                <w:lang w:val="en-US" w:eastAsia="ja-JP"/>
              </w:rPr>
              <w:t>st</w:t>
            </w:r>
            <w:r>
              <w:rPr>
                <w:rFonts w:hint="default" w:ascii="Times New Roman" w:hAnsi="Times New Roman" w:cs="Times New Roman"/>
                <w:sz w:val="20"/>
                <w:szCs w:val="20"/>
                <w:lang w:val="en-US" w:eastAsia="ja-JP"/>
              </w:rPr>
              <w:t xml:space="preserve"> path</w:t>
            </w:r>
          </w:p>
          <w:p w14:paraId="0DD5FA58">
            <w:pPr>
              <w:pStyle w:val="15"/>
              <w:numPr>
                <w:ilvl w:val="0"/>
                <w:numId w:val="0"/>
              </w:numPr>
              <w:overflowPunct w:val="0"/>
              <w:autoSpaceDE w:val="0"/>
              <w:autoSpaceDN w:val="0"/>
              <w:adjustRightInd w:val="0"/>
              <w:spacing w:after="120"/>
              <w:textAlignment w:val="baseline"/>
              <w:rPr>
                <w:rFonts w:hint="default" w:ascii="Times New Roman" w:hAnsi="Times New Roman" w:eastAsia="等线" w:cs="Times New Roman"/>
                <w:bCs/>
                <w:iCs/>
                <w:sz w:val="20"/>
                <w:szCs w:val="20"/>
                <w:vertAlign w:val="baseline"/>
                <w:lang w:val="en-US" w:eastAsia="zh-CN"/>
              </w:rPr>
            </w:pPr>
          </w:p>
        </w:tc>
      </w:tr>
    </w:tbl>
    <w:p w14:paraId="61598E8C">
      <w:pPr>
        <w:spacing w:after="180" w:line="240" w:lineRule="exact"/>
        <w:rPr>
          <w:rFonts w:hint="default" w:ascii="Times New Roman" w:hAnsi="Times New Roman" w:eastAsia="等线" w:cs="Times New Roman"/>
          <w:bCs/>
          <w:iCs/>
          <w:sz w:val="20"/>
          <w:szCs w:val="20"/>
          <w:lang w:val="en-US" w:eastAsia="zh-CN"/>
        </w:rPr>
      </w:pPr>
    </w:p>
    <w:p w14:paraId="5F1F1FBF">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According to current TS38.133, measurement performance requirements for NR gNB include report mapping for UL-RTOA, report mapping for gNB Rx-Tx time difference, measurement accuracy requirements for gNB Rx-Tx time difference, report mapping for UL SRS RSRP, measurement accuracy requirements for UL SRS RSRP, report mapping for UL SRS RSRPP. The situation is summarized as following Table 1.</w:t>
      </w:r>
    </w:p>
    <w:p w14:paraId="6CC4C07D">
      <w:pPr>
        <w:spacing w:after="180" w:line="240" w:lineRule="exact"/>
        <w:jc w:val="center"/>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Table 1 summary of agreements on requirements for case 3a</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2"/>
        <w:gridCol w:w="2332"/>
        <w:gridCol w:w="2332"/>
      </w:tblGrid>
      <w:tr w14:paraId="6667F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4" w:type="dxa"/>
            <w:gridSpan w:val="2"/>
          </w:tcPr>
          <w:p w14:paraId="517E8100">
            <w:pPr>
              <w:spacing w:after="180" w:line="240" w:lineRule="exact"/>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Legacy meaurement requirements for gNB</w:t>
            </w:r>
          </w:p>
        </w:tc>
        <w:tc>
          <w:tcPr>
            <w:tcW w:w="2332" w:type="dxa"/>
          </w:tcPr>
          <w:p w14:paraId="1E00172D">
            <w:pPr>
              <w:spacing w:after="180" w:line="240" w:lineRule="exact"/>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Case 3a</w:t>
            </w:r>
          </w:p>
        </w:tc>
      </w:tr>
      <w:tr w14:paraId="673C6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2" w:type="dxa"/>
          </w:tcPr>
          <w:p w14:paraId="1DBB6EF5">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UL-RTOA</w:t>
            </w:r>
          </w:p>
        </w:tc>
        <w:tc>
          <w:tcPr>
            <w:tcW w:w="2332" w:type="dxa"/>
          </w:tcPr>
          <w:p w14:paraId="3CB2DC02">
            <w:pPr>
              <w:spacing w:after="180" w:line="240" w:lineRule="exact"/>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lang w:val="en-US" w:eastAsia="zh-CN"/>
              </w:rPr>
              <w:t>report mapping</w:t>
            </w:r>
          </w:p>
        </w:tc>
        <w:tc>
          <w:tcPr>
            <w:tcW w:w="2332" w:type="dxa"/>
          </w:tcPr>
          <w:p w14:paraId="6F890505">
            <w:pPr>
              <w:spacing w:after="180" w:line="240" w:lineRule="exact"/>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Already agreed to reuse legacy requirements</w:t>
            </w:r>
          </w:p>
        </w:tc>
      </w:tr>
      <w:tr w14:paraId="71451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2" w:type="dxa"/>
            <w:vMerge w:val="restart"/>
          </w:tcPr>
          <w:p w14:paraId="25E1546C">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gNB Rx-Tx time difference</w:t>
            </w:r>
          </w:p>
        </w:tc>
        <w:tc>
          <w:tcPr>
            <w:tcW w:w="2332" w:type="dxa"/>
          </w:tcPr>
          <w:p w14:paraId="6D90D50A">
            <w:pPr>
              <w:spacing w:after="180" w:line="240" w:lineRule="exact"/>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lang w:val="en-US" w:eastAsia="zh-CN"/>
              </w:rPr>
              <w:t>report mapping</w:t>
            </w:r>
          </w:p>
        </w:tc>
        <w:tc>
          <w:tcPr>
            <w:tcW w:w="2332" w:type="dxa"/>
          </w:tcPr>
          <w:p w14:paraId="739EC6A4">
            <w:pPr>
              <w:spacing w:after="180" w:line="240" w:lineRule="exact"/>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Already agreed to reuse legacy requirements</w:t>
            </w:r>
          </w:p>
        </w:tc>
      </w:tr>
      <w:tr w14:paraId="1128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2" w:type="dxa"/>
            <w:vMerge w:val="continue"/>
          </w:tcPr>
          <w:p w14:paraId="1202A45F">
            <w:pPr>
              <w:spacing w:after="180" w:line="240" w:lineRule="exact"/>
              <w:rPr>
                <w:rFonts w:hint="eastAsia" w:ascii="Times New Roman" w:hAnsi="Times New Roman" w:eastAsia="等线" w:cs="Times New Roman"/>
                <w:bCs/>
                <w:iCs/>
                <w:sz w:val="20"/>
                <w:szCs w:val="20"/>
                <w:lang w:val="en-US" w:eastAsia="zh-CN"/>
              </w:rPr>
            </w:pPr>
          </w:p>
        </w:tc>
        <w:tc>
          <w:tcPr>
            <w:tcW w:w="2332" w:type="dxa"/>
          </w:tcPr>
          <w:p w14:paraId="12F7A6C6">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measurement accuracy requirements</w:t>
            </w:r>
          </w:p>
        </w:tc>
        <w:tc>
          <w:tcPr>
            <w:tcW w:w="2332" w:type="dxa"/>
          </w:tcPr>
          <w:p w14:paraId="745A6F33">
            <w:pPr>
              <w:spacing w:after="180" w:line="240" w:lineRule="exact"/>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Already agreed to reuse legacy requirements</w:t>
            </w:r>
          </w:p>
        </w:tc>
      </w:tr>
      <w:tr w14:paraId="7A101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2" w:type="dxa"/>
            <w:vMerge w:val="restart"/>
          </w:tcPr>
          <w:p w14:paraId="1F9772BD">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UL SRS RSRP</w:t>
            </w:r>
          </w:p>
        </w:tc>
        <w:tc>
          <w:tcPr>
            <w:tcW w:w="2332" w:type="dxa"/>
          </w:tcPr>
          <w:p w14:paraId="65AE5517">
            <w:pPr>
              <w:spacing w:after="180" w:line="240" w:lineRule="exact"/>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lang w:val="en-US" w:eastAsia="zh-CN"/>
              </w:rPr>
              <w:t>report mapping</w:t>
            </w:r>
          </w:p>
        </w:tc>
        <w:tc>
          <w:tcPr>
            <w:tcW w:w="2332" w:type="dxa"/>
          </w:tcPr>
          <w:p w14:paraId="51849A96">
            <w:pPr>
              <w:spacing w:after="180" w:line="240" w:lineRule="exact"/>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Already agreed to reuse legacy requirements</w:t>
            </w:r>
          </w:p>
        </w:tc>
      </w:tr>
      <w:tr w14:paraId="3AD04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2" w:type="dxa"/>
            <w:vMerge w:val="continue"/>
          </w:tcPr>
          <w:p w14:paraId="2EFD3422">
            <w:pPr>
              <w:spacing w:after="180" w:line="240" w:lineRule="exact"/>
              <w:rPr>
                <w:rFonts w:hint="default" w:ascii="Times New Roman" w:hAnsi="Times New Roman" w:eastAsia="等线" w:cs="Times New Roman"/>
                <w:bCs/>
                <w:iCs/>
                <w:sz w:val="20"/>
                <w:szCs w:val="20"/>
                <w:lang w:val="en-US" w:eastAsia="zh-CN"/>
              </w:rPr>
            </w:pPr>
          </w:p>
        </w:tc>
        <w:tc>
          <w:tcPr>
            <w:tcW w:w="2332" w:type="dxa"/>
          </w:tcPr>
          <w:p w14:paraId="4092B70B">
            <w:pPr>
              <w:spacing w:after="180" w:line="240" w:lineRule="exact"/>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lang w:val="en-US" w:eastAsia="zh-CN"/>
              </w:rPr>
              <w:t>measurement accuracy requirements</w:t>
            </w:r>
          </w:p>
        </w:tc>
        <w:tc>
          <w:tcPr>
            <w:tcW w:w="2332" w:type="dxa"/>
          </w:tcPr>
          <w:p w14:paraId="60D8BC29">
            <w:pPr>
              <w:spacing w:after="180" w:line="240" w:lineRule="exact"/>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w:t>
            </w:r>
          </w:p>
        </w:tc>
      </w:tr>
      <w:tr w14:paraId="5482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2" w:type="dxa"/>
          </w:tcPr>
          <w:p w14:paraId="1C33EB68">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UL SRS RSRPP</w:t>
            </w:r>
          </w:p>
        </w:tc>
        <w:tc>
          <w:tcPr>
            <w:tcW w:w="2332" w:type="dxa"/>
          </w:tcPr>
          <w:p w14:paraId="4978D1A5">
            <w:pPr>
              <w:spacing w:after="180" w:line="240" w:lineRule="exact"/>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lang w:val="en-US" w:eastAsia="zh-CN"/>
              </w:rPr>
              <w:t>report mapping</w:t>
            </w:r>
          </w:p>
        </w:tc>
        <w:tc>
          <w:tcPr>
            <w:tcW w:w="2332" w:type="dxa"/>
          </w:tcPr>
          <w:p w14:paraId="4021052E">
            <w:pPr>
              <w:spacing w:after="180" w:line="240" w:lineRule="exact"/>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Already agreed to reuse legacy requirements</w:t>
            </w:r>
          </w:p>
        </w:tc>
      </w:tr>
    </w:tbl>
    <w:p w14:paraId="6E0E67AC">
      <w:pPr>
        <w:spacing w:after="180" w:line="240" w:lineRule="exact"/>
        <w:rPr>
          <w:rFonts w:hint="eastAsia" w:ascii="Times New Roman" w:hAnsi="Times New Roman" w:eastAsia="等线" w:cs="Times New Roman"/>
          <w:bCs/>
          <w:iCs/>
          <w:sz w:val="20"/>
          <w:szCs w:val="20"/>
          <w:lang w:val="en-US" w:eastAsia="zh-CN"/>
        </w:rPr>
      </w:pPr>
    </w:p>
    <w:p w14:paraId="75E122DB">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It can be seen that RAN4 agreed to r</w:t>
      </w:r>
      <w:r>
        <w:rPr>
          <w:rFonts w:hint="default" w:ascii="Times New Roman" w:hAnsi="Times New Roman" w:eastAsia="Yu Mincho" w:cs="Times New Roman"/>
          <w:sz w:val="20"/>
          <w:szCs w:val="20"/>
          <w:lang w:eastAsia="ja-JP"/>
        </w:rPr>
        <w:t>euse the report mapping for UL SRS-RSRP to Case 3a</w:t>
      </w:r>
      <w:r>
        <w:rPr>
          <w:rFonts w:hint="eastAsia" w:ascii="Times New Roman" w:hAnsi="Times New Roman" w:eastAsia="宋体" w:cs="Times New Roman"/>
          <w:sz w:val="20"/>
          <w:szCs w:val="20"/>
          <w:lang w:val="en-US" w:eastAsia="zh-CN"/>
        </w:rPr>
        <w:t>,</w:t>
      </w:r>
      <w:r>
        <w:rPr>
          <w:rFonts w:hint="eastAsia" w:ascii="Times New Roman" w:hAnsi="Times New Roman" w:eastAsia="等线" w:cs="Times New Roman"/>
          <w:bCs/>
          <w:iCs/>
          <w:sz w:val="20"/>
          <w:szCs w:val="20"/>
          <w:lang w:val="en-US" w:eastAsia="zh-CN"/>
        </w:rPr>
        <w:t xml:space="preserve"> but measurement accuracy requirements for UL SRS RSRP is missing for case 3a. It is proposed that to reuse legacy UL SRS RSRP measurement accuracy requirements for case 3a.</w:t>
      </w:r>
    </w:p>
    <w:p w14:paraId="7F684ADD">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It is proposed to reuse legacy UL SRS RSRP measurement accuracy requirements for case 3a.</w:t>
      </w:r>
    </w:p>
    <w:p w14:paraId="34C6226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AC2D3A7">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RRM requirements for positioning. The proposals are:</w:t>
      </w:r>
    </w:p>
    <w:p w14:paraId="419CB928">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for case 1, the number of measurement samples can be 1, 2, or 4 based on the UE capability and LMF request, similar as legacy positioning measurement. </w:t>
      </w:r>
    </w:p>
    <w:p w14:paraId="39652A92">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It is proposed to reuse legacy UL SRS RSRP measurement accuracy requirements for case 3a.</w:t>
      </w:r>
    </w:p>
    <w:p w14:paraId="202A418C">
      <w:pPr>
        <w:tabs>
          <w:tab w:val="left" w:pos="1134"/>
        </w:tabs>
        <w:spacing w:after="180" w:line="240" w:lineRule="exact"/>
        <w:rPr>
          <w:rFonts w:hint="eastAsia" w:ascii="Times New Roman" w:hAnsi="Times New Roman"/>
          <w:sz w:val="20"/>
          <w:szCs w:val="20"/>
        </w:rPr>
      </w:pPr>
    </w:p>
    <w:p w14:paraId="670EA780">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4B7F904">
      <w:pPr>
        <w:pStyle w:val="17"/>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22D4C8">
      <w:pPr>
        <w:pStyle w:val="17"/>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RP-243244</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Artificial Intelligence (AI)/Machine Learning (ML) for NR Air Interface</w:t>
      </w:r>
    </w:p>
    <w:p w14:paraId="551DFB87">
      <w:pPr>
        <w:pStyle w:val="17"/>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R4-2511890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for air interface for [116][131], Qualcomm Incorporated</w:t>
      </w:r>
    </w:p>
    <w:p w14:paraId="197CD7A5">
      <w:pPr>
        <w:pStyle w:val="17"/>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7F827E88">
      <w:pPr>
        <w:pStyle w:val="17"/>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03D960E2">
      <w:pPr>
        <w:pStyle w:val="17"/>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R4-2502856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the requirements for AI/ML air interfance, Qualcomm Incorporated</w:t>
      </w:r>
    </w:p>
    <w:p w14:paraId="4B1FD71B">
      <w:pPr>
        <w:pStyle w:val="17"/>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R4-2420336</w:t>
      </w:r>
      <w:r>
        <w:rPr>
          <w:rFonts w:hint="eastAsia" w:ascii="Times" w:hAnsi="Times" w:eastAsia="宋体"/>
          <w:b w:val="0"/>
          <w:sz w:val="20"/>
          <w:lang w:val="en-US" w:eastAsia="zh-CN"/>
        </w:rPr>
        <w:t>, WF on AI/ML air interface part 2, Ericsson</w:t>
      </w:r>
    </w:p>
    <w:p w14:paraId="4401E20B">
      <w:pPr>
        <w:pStyle w:val="17"/>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597876BB">
      <w:pPr>
        <w:pStyle w:val="17"/>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246D50C2">
      <w:pPr>
        <w:pStyle w:val="17"/>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624C76E4">
      <w:pPr>
        <w:pStyle w:val="17"/>
        <w:framePr w:wrap="auto" w:vAnchor="margin" w:hAnchor="text" w:yAlign="inline"/>
        <w:numPr>
          <w:ilvl w:val="0"/>
          <w:numId w:val="9"/>
        </w:numPr>
        <w:ind w:right="400"/>
        <w:jc w:val="both"/>
        <w:rPr>
          <w:rFonts w:hint="eastAsia" w:ascii="Times" w:hAnsi="Times" w:eastAsia="宋体"/>
          <w:b w:val="0"/>
          <w:sz w:val="20"/>
          <w:lang w:val="en-US" w:eastAsia="zh-CN"/>
        </w:rPr>
      </w:pPr>
      <w:r>
        <w:rPr>
          <w:rFonts w:hint="eastAsia" w:ascii="Times" w:hAnsi="Times" w:eastAsia="宋体"/>
          <w:b w:val="0"/>
          <w:sz w:val="20"/>
          <w:lang w:eastAsia="zh-CN"/>
        </w:rPr>
        <w:t>R4-2406617, WF on AI/ML, Qualcomm Incorporated</w:t>
      </w:r>
    </w:p>
    <w:p w14:paraId="7EB926C9">
      <w:pPr>
        <w:pStyle w:val="17"/>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val="en-US" w:eastAsia="zh-CN"/>
        </w:rPr>
        <w:t>3GPP TR 38.843, Study on Artificial Intelligence (AI)/Machine Learning (ML) for NR air interface</w:t>
      </w:r>
    </w:p>
    <w:p w14:paraId="1D8BF47E">
      <w:pPr>
        <w:pStyle w:val="17"/>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R1-2405389</w:t>
      </w:r>
      <w:r>
        <w:rPr>
          <w:rFonts w:hint="eastAsia" w:ascii="Times" w:hAnsi="Times" w:eastAsia="宋体"/>
          <w:b w:val="0"/>
          <w:sz w:val="20"/>
          <w:lang w:val="en-US" w:eastAsia="zh-CN"/>
        </w:rPr>
        <w:t>, Summary #5 of specification support for positioning accuracy enhancement</w:t>
      </w:r>
    </w:p>
    <w:p w14:paraId="3CCD5916">
      <w:pPr>
        <w:pStyle w:val="17"/>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val="en-US" w:eastAsia="zh-CN"/>
        </w:rPr>
        <w:t xml:space="preserve">R4-2501758, </w:t>
      </w:r>
      <w:r>
        <w:rPr>
          <w:rFonts w:hint="eastAsia" w:ascii="Times" w:hAnsi="Times" w:eastAsia="宋体"/>
          <w:b w:val="0"/>
          <w:sz w:val="20"/>
          <w:lang w:eastAsia="zh-CN"/>
        </w:rPr>
        <w:t>On requirements for AI/ML based positioning</w:t>
      </w:r>
      <w:r>
        <w:rPr>
          <w:rFonts w:hint="eastAsia" w:ascii="Times" w:hAnsi="Times" w:eastAsia="宋体"/>
          <w:b w:val="0"/>
          <w:sz w:val="20"/>
          <w:lang w:val="en-US" w:eastAsia="zh-CN"/>
        </w:rPr>
        <w:t>, Ericsson</w:t>
      </w:r>
    </w:p>
    <w:p w14:paraId="3D012058">
      <w:pPr>
        <w:pStyle w:val="17"/>
        <w:framePr w:wrap="auto" w:vAnchor="margin" w:hAnchor="text" w:yAlign="inline"/>
        <w:ind w:right="400"/>
        <w:jc w:val="both"/>
        <w:rPr>
          <w:rFonts w:ascii="Times" w:hAnsi="Times" w:eastAsia="宋体"/>
          <w:b w:val="0"/>
          <w:sz w:val="20"/>
          <w:lang w:eastAsia="zh-CN"/>
        </w:rPr>
      </w:pPr>
    </w:p>
    <w:p w14:paraId="26B59D20">
      <w:pPr>
        <w:pStyle w:val="17"/>
        <w:framePr w:wrap="auto" w:vAnchor="margin" w:hAnchor="text" w:yAlign="inline"/>
        <w:ind w:right="400"/>
        <w:jc w:val="both"/>
        <w:rPr>
          <w:rFonts w:hint="eastAsia" w:ascii="Times" w:hAnsi="Times" w:eastAsia="宋体"/>
          <w:b w:val="0"/>
          <w:sz w:val="20"/>
          <w:lang w:val="en-US" w:eastAsia="zh-CN"/>
        </w:rPr>
      </w:pPr>
    </w:p>
    <w:p w14:paraId="3F29A040"/>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ms Rmn">
    <w:altName w:val="Segoe Print"/>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5B0C279F"/>
    <w:multiLevelType w:val="multilevel"/>
    <w:tmpl w:val="5B0C279F"/>
    <w:lvl w:ilvl="0" w:tentative="0">
      <w:start w:val="0"/>
      <w:numFmt w:val="bullet"/>
      <w:lvlText w:val="-"/>
      <w:lvlJc w:val="left"/>
      <w:pPr>
        <w:ind w:left="1413" w:hanging="42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67160101"/>
    <w:multiLevelType w:val="multilevel"/>
    <w:tmpl w:val="67160101"/>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3"/>
  </w:num>
  <w:num w:numId="3">
    <w:abstractNumId w:val="2"/>
  </w:num>
  <w:num w:numId="4">
    <w:abstractNumId w:val="5"/>
  </w:num>
  <w:num w:numId="5">
    <w:abstractNumId w:val="1"/>
  </w:num>
  <w:num w:numId="6">
    <w:abstractNumId w:val="7"/>
  </w:num>
  <w:num w:numId="7">
    <w:abstractNumId w:val="4"/>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64DF8"/>
    <w:rsid w:val="06224996"/>
    <w:rsid w:val="08357123"/>
    <w:rsid w:val="08AC6809"/>
    <w:rsid w:val="0A12645E"/>
    <w:rsid w:val="0B5224A3"/>
    <w:rsid w:val="0B5B2331"/>
    <w:rsid w:val="0C7C4062"/>
    <w:rsid w:val="0EC869C6"/>
    <w:rsid w:val="0FE50EF5"/>
    <w:rsid w:val="107F695B"/>
    <w:rsid w:val="11C112E5"/>
    <w:rsid w:val="15685863"/>
    <w:rsid w:val="157E7936"/>
    <w:rsid w:val="15C5068C"/>
    <w:rsid w:val="19AD6153"/>
    <w:rsid w:val="19DE2C60"/>
    <w:rsid w:val="1A4B52AF"/>
    <w:rsid w:val="1A9853AE"/>
    <w:rsid w:val="1AE254F2"/>
    <w:rsid w:val="1B8A054A"/>
    <w:rsid w:val="1E7B3D90"/>
    <w:rsid w:val="1E8D1AAC"/>
    <w:rsid w:val="244C222F"/>
    <w:rsid w:val="250E67D7"/>
    <w:rsid w:val="28E8012C"/>
    <w:rsid w:val="2D1359EF"/>
    <w:rsid w:val="2E3F6F72"/>
    <w:rsid w:val="304863A9"/>
    <w:rsid w:val="306C2E39"/>
    <w:rsid w:val="308E7578"/>
    <w:rsid w:val="3095731D"/>
    <w:rsid w:val="333554DB"/>
    <w:rsid w:val="33BC18EF"/>
    <w:rsid w:val="35021C06"/>
    <w:rsid w:val="3647586B"/>
    <w:rsid w:val="36AC56C5"/>
    <w:rsid w:val="36D62781"/>
    <w:rsid w:val="3A1815FF"/>
    <w:rsid w:val="3BE47C50"/>
    <w:rsid w:val="3DEF01B7"/>
    <w:rsid w:val="3E1C72D0"/>
    <w:rsid w:val="3FC16E3E"/>
    <w:rsid w:val="40360E64"/>
    <w:rsid w:val="40F55BB6"/>
    <w:rsid w:val="42426621"/>
    <w:rsid w:val="44A66B12"/>
    <w:rsid w:val="464E3068"/>
    <w:rsid w:val="498B5309"/>
    <w:rsid w:val="499F0AD6"/>
    <w:rsid w:val="4A685401"/>
    <w:rsid w:val="4D3D03C8"/>
    <w:rsid w:val="4F2B131D"/>
    <w:rsid w:val="54465BC6"/>
    <w:rsid w:val="548173AF"/>
    <w:rsid w:val="54E439E0"/>
    <w:rsid w:val="5511121D"/>
    <w:rsid w:val="57D55747"/>
    <w:rsid w:val="5B8F5BBF"/>
    <w:rsid w:val="5C790B4E"/>
    <w:rsid w:val="5D210D3B"/>
    <w:rsid w:val="5D8142CB"/>
    <w:rsid w:val="5E3B51B9"/>
    <w:rsid w:val="60182E76"/>
    <w:rsid w:val="647D689B"/>
    <w:rsid w:val="667167B1"/>
    <w:rsid w:val="6B8310F6"/>
    <w:rsid w:val="6D205895"/>
    <w:rsid w:val="6D303931"/>
    <w:rsid w:val="6E3077EF"/>
    <w:rsid w:val="6FA06BAE"/>
    <w:rsid w:val="6FCE1A42"/>
    <w:rsid w:val="704E733C"/>
    <w:rsid w:val="729A4DAA"/>
    <w:rsid w:val="72A94019"/>
    <w:rsid w:val="75886832"/>
    <w:rsid w:val="76EE202A"/>
    <w:rsid w:val="783201C2"/>
    <w:rsid w:val="7BB057DB"/>
    <w:rsid w:val="7C3F4164"/>
    <w:rsid w:val="7DB5597B"/>
    <w:rsid w:val="7DF509C8"/>
    <w:rsid w:val="7E980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List 2"/>
    <w:basedOn w:val="1"/>
    <w:unhideWhenUsed/>
    <w:qFormat/>
    <w:uiPriority w:val="99"/>
    <w:pPr>
      <w:ind w:left="100" w:leftChars="200" w:hanging="200" w:hangingChars="200"/>
      <w:contextualSpacing/>
    </w:pPr>
  </w:style>
  <w:style w:type="paragraph" w:styleId="9">
    <w:name w:val="Date"/>
    <w:basedOn w:val="1"/>
    <w:next w:val="1"/>
    <w:unhideWhenUsed/>
    <w:qFormat/>
    <w:uiPriority w:val="99"/>
    <w:pPr>
      <w:ind w:left="100" w:leftChars="2500"/>
    </w:pPr>
  </w:style>
  <w:style w:type="paragraph" w:styleId="10">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1">
    <w:name w:val="List"/>
    <w:basedOn w:val="1"/>
    <w:unhideWhenUsed/>
    <w:qFormat/>
    <w:uiPriority w:val="99"/>
    <w:pPr>
      <w:ind w:left="200" w:hanging="200" w:hangingChars="200"/>
      <w:contextualSpacing/>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11"/>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9">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20">
    <w:name w:val="TAH"/>
    <w:basedOn w:val="21"/>
    <w:qFormat/>
    <w:uiPriority w:val="0"/>
    <w:rPr>
      <w:b/>
      <w:bCs/>
    </w:rPr>
  </w:style>
  <w:style w:type="paragraph" w:customStyle="1" w:styleId="21">
    <w:name w:val="TAC"/>
    <w:basedOn w:val="22"/>
    <w:qFormat/>
    <w:uiPriority w:val="0"/>
    <w:pPr>
      <w:keepNext/>
      <w:keepLines/>
      <w:widowControl/>
      <w:overflowPunct w:val="0"/>
      <w:autoSpaceDE w:val="0"/>
      <w:autoSpaceDN w:val="0"/>
      <w:adjustRightInd w:val="0"/>
      <w:jc w:val="center"/>
      <w:textAlignment w:val="baseline"/>
    </w:pPr>
    <w:rPr>
      <w:rFonts w:ascii="Arial" w:hAnsi="Arial"/>
      <w:kern w:val="0"/>
      <w:sz w:val="18"/>
      <w:szCs w:val="18"/>
      <w:lang w:val="en-GB"/>
    </w:rPr>
  </w:style>
  <w:style w:type="paragraph" w:customStyle="1" w:styleId="22">
    <w:name w:val="TAL"/>
    <w:basedOn w:val="1"/>
    <w:qFormat/>
    <w:uiPriority w:val="0"/>
    <w:pPr>
      <w:keepNext/>
      <w:keepLines/>
      <w:widowControl/>
      <w:jc w:val="left"/>
    </w:pPr>
    <w:rPr>
      <w:rFonts w:ascii="Arial" w:hAnsi="Arial"/>
      <w:kern w:val="0"/>
      <w:sz w:val="18"/>
      <w:szCs w:val="20"/>
      <w:lang w:val="en-GB" w:eastAsia="en-US"/>
    </w:rPr>
  </w:style>
  <w:style w:type="table" w:customStyle="1" w:styleId="23">
    <w:name w:val="Table Grid6"/>
    <w:basedOn w:val="12"/>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B2"/>
    <w:basedOn w:val="8"/>
    <w:qFormat/>
    <w:uiPriority w:val="0"/>
    <w:pPr>
      <w:widowControl/>
      <w:overflowPunct w:val="0"/>
      <w:autoSpaceDE w:val="0"/>
      <w:autoSpaceDN w:val="0"/>
      <w:adjustRightInd w:val="0"/>
      <w:spacing w:after="180"/>
      <w:ind w:left="851" w:leftChars="0" w:hanging="284" w:firstLineChars="0"/>
      <w:jc w:val="left"/>
      <w:textAlignment w:val="baseline"/>
    </w:pPr>
    <w:rPr>
      <w:rFonts w:ascii="Times New Roman" w:hAnsi="Times New Roman" w:eastAsia="Times New Roman"/>
      <w:kern w:val="0"/>
      <w:sz w:val="20"/>
      <w:szCs w:val="20"/>
      <w:lang w:val="en-GB" w:eastAsia="en-GB"/>
    </w:rPr>
  </w:style>
  <w:style w:type="paragraph" w:customStyle="1" w:styleId="25">
    <w:name w:val="B3"/>
    <w:basedOn w:val="1"/>
    <w:qFormat/>
    <w:uiPriority w:val="0"/>
    <w:pPr>
      <w:ind w:left="1135" w:hanging="284"/>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2025-10-02T02:17:51Z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